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Ind w:w="-50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41294B" w:rsidTr="00943E45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943E45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943E45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41294B" w:rsidTr="0041294B">
        <w:tc>
          <w:tcPr>
            <w:tcW w:w="6101" w:type="dxa"/>
            <w:gridSpan w:val="5"/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41294B" w:rsidTr="0041294B">
        <w:tc>
          <w:tcPr>
            <w:tcW w:w="6101" w:type="dxa"/>
            <w:gridSpan w:val="5"/>
          </w:tcPr>
          <w:p w:rsidR="00943E45" w:rsidRDefault="00943E45" w:rsidP="00943E45">
            <w:pPr>
              <w:pStyle w:val="Ttulo2"/>
              <w:ind w:left="0" w:firstLine="0"/>
              <w:jc w:val="center"/>
              <w:rPr>
                <w:rStyle w:val="PuestoCar"/>
                <w:rFonts w:ascii="Arial Narrow" w:eastAsia="Calibri" w:hAnsi="Arial Narrow" w:cs="Tahoma"/>
                <w:b/>
                <w:sz w:val="20"/>
                <w:szCs w:val="20"/>
              </w:rPr>
            </w:pPr>
            <w:bookmarkStart w:id="0" w:name="_Toc444782386"/>
          </w:p>
          <w:p w:rsidR="0041294B" w:rsidRPr="00943E45" w:rsidRDefault="0041294B" w:rsidP="00943E45">
            <w:pPr>
              <w:pStyle w:val="Ttulo2"/>
              <w:ind w:left="0" w:firstLine="0"/>
              <w:rPr>
                <w:rFonts w:ascii="Arial Narrow" w:hAnsi="Arial Narrow" w:cs="Tahoma"/>
                <w:b w:val="0"/>
                <w:szCs w:val="20"/>
              </w:rPr>
            </w:pPr>
            <w:r w:rsidRPr="00943E45">
              <w:rPr>
                <w:rStyle w:val="PuestoCar"/>
                <w:rFonts w:ascii="Arial Narrow" w:eastAsia="Calibri" w:hAnsi="Arial Narrow" w:cs="Tahoma"/>
                <w:b/>
                <w:sz w:val="20"/>
                <w:szCs w:val="20"/>
              </w:rPr>
              <w:t>Pago en Cajeros Automáticos del servicio de agua potable</w:t>
            </w:r>
            <w:r w:rsidRPr="00943E45">
              <w:rPr>
                <w:rFonts w:ascii="Arial Narrow" w:hAnsi="Arial Narrow" w:cs="Tahoma"/>
                <w:b w:val="0"/>
                <w:color w:val="000000"/>
                <w:szCs w:val="20"/>
              </w:rPr>
              <w:t>.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41294B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43E45" w:rsidRDefault="00943E45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43E45" w:rsidRPr="00943E45" w:rsidRDefault="00943E45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943E45" w:rsidRDefault="00943E45" w:rsidP="00B907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sz w:val="20"/>
                <w:szCs w:val="20"/>
              </w:rPr>
              <w:t>Una vez frente a cajero 2 minutos.</w:t>
            </w:r>
          </w:p>
        </w:tc>
      </w:tr>
      <w:tr w:rsidR="0041294B" w:rsidTr="0041294B">
        <w:tc>
          <w:tcPr>
            <w:tcW w:w="9828" w:type="dxa"/>
            <w:gridSpan w:val="9"/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41294B" w:rsidTr="0041294B">
        <w:tc>
          <w:tcPr>
            <w:tcW w:w="9828" w:type="dxa"/>
            <w:gridSpan w:val="9"/>
          </w:tcPr>
          <w:p w:rsidR="0041294B" w:rsidRPr="00943E45" w:rsidRDefault="0041294B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Poder cubrir el costo de la factura las 24 horas del día los 365 días del año.</w:t>
            </w:r>
          </w:p>
        </w:tc>
      </w:tr>
      <w:tr w:rsidR="0041294B" w:rsidTr="0041294B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1294B" w:rsidTr="0041294B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sz w:val="20"/>
                <w:szCs w:val="20"/>
              </w:rPr>
              <w:t>Zona Comercial e Informática.</w:t>
            </w:r>
          </w:p>
        </w:tc>
        <w:tc>
          <w:tcPr>
            <w:tcW w:w="835" w:type="dxa"/>
          </w:tcPr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294B" w:rsidTr="0041294B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41294B" w:rsidTr="0041294B">
        <w:tc>
          <w:tcPr>
            <w:tcW w:w="2872" w:type="dxa"/>
            <w:tcBorders>
              <w:right w:val="single" w:sz="6" w:space="0" w:color="548DD4"/>
            </w:tcBorders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/>
                <w:bCs/>
                <w:sz w:val="20"/>
                <w:szCs w:val="20"/>
              </w:rPr>
              <w:t>Sin costo.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sz w:val="20"/>
                <w:szCs w:val="20"/>
              </w:rPr>
              <w:t>Comprobante de Pago emitido por el cajero automático.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sz w:val="20"/>
                <w:szCs w:val="20"/>
              </w:rPr>
              <w:t>No aplica.</w:t>
            </w:r>
          </w:p>
        </w:tc>
      </w:tr>
      <w:tr w:rsidR="0041294B" w:rsidTr="0041294B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41294B" w:rsidTr="0041294B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41294B" w:rsidRPr="00943E45" w:rsidRDefault="0041294B" w:rsidP="0041294B">
            <w:pPr>
              <w:pStyle w:val="ListParagraph1"/>
              <w:numPr>
                <w:ilvl w:val="0"/>
                <w:numId w:val="18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Ubicaciones de los cajeros automáticos:</w:t>
            </w:r>
          </w:p>
          <w:p w:rsidR="0041294B" w:rsidRPr="00943E45" w:rsidRDefault="0041294B" w:rsidP="0041294B">
            <w:pPr>
              <w:pStyle w:val="ListParagraph1"/>
              <w:numPr>
                <w:ilvl w:val="0"/>
                <w:numId w:val="18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 xml:space="preserve">Zona Comercial IV (Calle Río </w:t>
            </w:r>
            <w:proofErr w:type="spellStart"/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Mocorito</w:t>
            </w:r>
            <w:proofErr w:type="spellEnd"/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 xml:space="preserve"> y Gustavo Garmendia, Col. Pro-hogar).</w:t>
            </w:r>
          </w:p>
          <w:p w:rsidR="0041294B" w:rsidRPr="00943E45" w:rsidRDefault="0041294B" w:rsidP="0041294B">
            <w:pPr>
              <w:pStyle w:val="ListParagraph1"/>
              <w:numPr>
                <w:ilvl w:val="0"/>
                <w:numId w:val="18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Zona Comercial VI (Calle 5ta. y Río Papaloapan, Delegación González Ortega).</w:t>
            </w:r>
          </w:p>
          <w:p w:rsidR="0041294B" w:rsidRPr="00943E45" w:rsidRDefault="0041294B" w:rsidP="0041294B">
            <w:pPr>
              <w:pStyle w:val="ListParagraph1"/>
              <w:numPr>
                <w:ilvl w:val="0"/>
                <w:numId w:val="18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Zona Comercial VII. (</w:t>
            </w:r>
            <w:proofErr w:type="spellStart"/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Calz</w:t>
            </w:r>
            <w:proofErr w:type="spellEnd"/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 xml:space="preserve">. Xochimilco y C. del Polen </w:t>
            </w:r>
            <w:proofErr w:type="spellStart"/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Fracc</w:t>
            </w:r>
            <w:proofErr w:type="spellEnd"/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. Villas del Rey)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43E45">
              <w:rPr>
                <w:rFonts w:ascii="Arial Narrow" w:hAnsi="Arial Narrow"/>
                <w:sz w:val="20"/>
                <w:szCs w:val="20"/>
              </w:rPr>
              <w:t>24 horas, los 365 días.</w:t>
            </w:r>
          </w:p>
        </w:tc>
      </w:tr>
      <w:tr w:rsidR="0041294B" w:rsidTr="0041294B">
        <w:tc>
          <w:tcPr>
            <w:tcW w:w="9828" w:type="dxa"/>
            <w:gridSpan w:val="9"/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41294B" w:rsidTr="0041294B">
        <w:tc>
          <w:tcPr>
            <w:tcW w:w="9828" w:type="dxa"/>
            <w:gridSpan w:val="9"/>
          </w:tcPr>
          <w:p w:rsidR="0041294B" w:rsidRPr="00943E45" w:rsidRDefault="0041294B" w:rsidP="0041294B">
            <w:pPr>
              <w:pStyle w:val="ListParagraph1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 xml:space="preserve">Factura por </w:t>
            </w:r>
            <w:r w:rsidR="00943E45">
              <w:rPr>
                <w:rFonts w:ascii="Arial Narrow" w:hAnsi="Arial Narrow" w:cs="Arial"/>
                <w:bCs/>
                <w:sz w:val="20"/>
                <w:szCs w:val="20"/>
              </w:rPr>
              <w:t>consumo de agua para escanear, o</w:t>
            </w:r>
          </w:p>
          <w:p w:rsidR="0041294B" w:rsidRPr="00943E45" w:rsidRDefault="0041294B" w:rsidP="0041294B">
            <w:pPr>
              <w:pStyle w:val="ListParagraph1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Capturar los datos solicitados como: número de cuenta, teléfono o clave catastral.</w:t>
            </w:r>
          </w:p>
          <w:p w:rsidR="0041294B" w:rsidRPr="00943E45" w:rsidRDefault="0041294B" w:rsidP="0041294B">
            <w:pPr>
              <w:pStyle w:val="ListParagraph1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Cubrir el total del adeudo.</w:t>
            </w:r>
          </w:p>
        </w:tc>
        <w:bookmarkStart w:id="1" w:name="_GoBack"/>
        <w:bookmarkEnd w:id="1"/>
      </w:tr>
      <w:tr w:rsidR="0041294B" w:rsidTr="0041294B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1294B" w:rsidTr="0041294B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41294B" w:rsidRPr="00943E45" w:rsidRDefault="0041294B" w:rsidP="00B9073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 cobrará de acuerdo a la tarifa contenida en la Ley de Ingresos del Estado de Baja California. Art 9. </w:t>
            </w:r>
            <w:proofErr w:type="gramStart"/>
            <w:r w:rsidRPr="00943E45">
              <w:rPr>
                <w:rFonts w:ascii="Arial Narrow" w:hAnsi="Arial Narrow" w:cs="Arial"/>
                <w:b/>
                <w:bCs/>
                <w:sz w:val="20"/>
                <w:szCs w:val="20"/>
              </w:rPr>
              <w:t>vigente</w:t>
            </w:r>
            <w:proofErr w:type="gramEnd"/>
            <w:r w:rsidRPr="00943E4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Artículo 28 del Código Fiscal del Estado de Baja California; 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sz w:val="20"/>
                <w:szCs w:val="20"/>
              </w:rPr>
              <w:t>No aplica.</w:t>
            </w:r>
          </w:p>
        </w:tc>
        <w:tc>
          <w:tcPr>
            <w:tcW w:w="835" w:type="dxa"/>
          </w:tcPr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1294B" w:rsidTr="0041294B">
        <w:tc>
          <w:tcPr>
            <w:tcW w:w="9828" w:type="dxa"/>
            <w:gridSpan w:val="9"/>
            <w:shd w:val="clear" w:color="auto" w:fill="BFBFBF" w:themeFill="background1" w:themeFillShade="BF"/>
          </w:tcPr>
          <w:p w:rsidR="0041294B" w:rsidRPr="00943E45" w:rsidRDefault="0041294B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45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41294B" w:rsidTr="0041294B">
        <w:tc>
          <w:tcPr>
            <w:tcW w:w="9828" w:type="dxa"/>
            <w:gridSpan w:val="9"/>
          </w:tcPr>
          <w:p w:rsidR="0041294B" w:rsidRPr="00943E45" w:rsidRDefault="0041294B" w:rsidP="0041294B">
            <w:pPr>
              <w:pStyle w:val="ListParagraph1"/>
              <w:numPr>
                <w:ilvl w:val="0"/>
                <w:numId w:val="20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 xml:space="preserve">Acudir a cualquiera de las tres ubicaciones de los cajeros automáticos. </w:t>
            </w:r>
          </w:p>
          <w:p w:rsidR="0041294B" w:rsidRPr="00943E45" w:rsidRDefault="0041294B" w:rsidP="0041294B">
            <w:pPr>
              <w:pStyle w:val="ListParagraph1"/>
              <w:numPr>
                <w:ilvl w:val="0"/>
                <w:numId w:val="20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Deslizar el código de barras de factura por el lector o registrar en pantalla los datos solicitados por el cajero automático.</w:t>
            </w:r>
          </w:p>
          <w:p w:rsidR="0041294B" w:rsidRPr="00943E45" w:rsidRDefault="0041294B" w:rsidP="0041294B">
            <w:pPr>
              <w:pStyle w:val="ListParagraph1"/>
              <w:numPr>
                <w:ilvl w:val="0"/>
                <w:numId w:val="20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Seleccionar el trámite a realizar (pago semestral, pago anual, pago de factura o estado de cuenta).</w:t>
            </w:r>
          </w:p>
          <w:p w:rsidR="0041294B" w:rsidRPr="00943E45" w:rsidRDefault="0041294B" w:rsidP="0041294B">
            <w:pPr>
              <w:pStyle w:val="ListParagraph1"/>
              <w:numPr>
                <w:ilvl w:val="0"/>
                <w:numId w:val="20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Realizar el pago correspondiente; introduciendo los billetes o monedas como se indica en pantalla.</w:t>
            </w:r>
          </w:p>
          <w:p w:rsidR="0041294B" w:rsidRPr="00943E45" w:rsidRDefault="0041294B" w:rsidP="0041294B">
            <w:pPr>
              <w:pStyle w:val="ListParagraph1"/>
              <w:numPr>
                <w:ilvl w:val="0"/>
                <w:numId w:val="20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Tomar su comprobante de pago emitido por el cajero automático.</w:t>
            </w:r>
          </w:p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Forma de pago es en efectivo y sobre el total de la deuda.</w:t>
            </w:r>
          </w:p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 xml:space="preserve">Los cajeros sólo aceptan billetes de $500.00, 200.00, 100.00, 50.00 y 20.00 pesos y monedas de todas las denominaciones. </w:t>
            </w:r>
          </w:p>
          <w:p w:rsidR="0041294B" w:rsidRPr="00943E45" w:rsidRDefault="0041294B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943E45">
              <w:rPr>
                <w:rFonts w:ascii="Arial Narrow" w:hAnsi="Arial Narrow" w:cs="Arial"/>
                <w:bCs/>
                <w:sz w:val="20"/>
                <w:szCs w:val="20"/>
              </w:rPr>
              <w:t>Solo moneda nacional.</w:t>
            </w:r>
          </w:p>
        </w:tc>
      </w:tr>
    </w:tbl>
    <w:p w:rsidR="005B7E41" w:rsidRDefault="005B7E41"/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9E8"/>
    <w:multiLevelType w:val="multilevel"/>
    <w:tmpl w:val="03D129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F38"/>
    <w:multiLevelType w:val="multilevel"/>
    <w:tmpl w:val="07237F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2142"/>
    <w:multiLevelType w:val="multilevel"/>
    <w:tmpl w:val="0BE921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1DD2"/>
    <w:multiLevelType w:val="multilevel"/>
    <w:tmpl w:val="139A1D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0BC0"/>
    <w:multiLevelType w:val="multilevel"/>
    <w:tmpl w:val="15E80B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6653"/>
    <w:multiLevelType w:val="multilevel"/>
    <w:tmpl w:val="1CD666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285A"/>
    <w:multiLevelType w:val="multilevel"/>
    <w:tmpl w:val="204128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C770A"/>
    <w:multiLevelType w:val="multilevel"/>
    <w:tmpl w:val="264C77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C10F4"/>
    <w:multiLevelType w:val="multilevel"/>
    <w:tmpl w:val="2C0C10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34FC"/>
    <w:multiLevelType w:val="multilevel"/>
    <w:tmpl w:val="329C34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976E7"/>
    <w:multiLevelType w:val="multilevel"/>
    <w:tmpl w:val="398976E7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AA794A"/>
    <w:multiLevelType w:val="multilevel"/>
    <w:tmpl w:val="3CAA79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1BBC"/>
    <w:multiLevelType w:val="multilevel"/>
    <w:tmpl w:val="50201B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E5C75"/>
    <w:multiLevelType w:val="multilevel"/>
    <w:tmpl w:val="52DE5C7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28A9"/>
    <w:multiLevelType w:val="multilevel"/>
    <w:tmpl w:val="58B728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D3F7C"/>
    <w:multiLevelType w:val="multilevel"/>
    <w:tmpl w:val="630D3F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F21EB"/>
    <w:multiLevelType w:val="multilevel"/>
    <w:tmpl w:val="660F21E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822F2"/>
    <w:multiLevelType w:val="multilevel"/>
    <w:tmpl w:val="706822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1616D"/>
    <w:multiLevelType w:val="multilevel"/>
    <w:tmpl w:val="71B1616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D5DA7"/>
    <w:multiLevelType w:val="multilevel"/>
    <w:tmpl w:val="746D5DA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14"/>
  </w:num>
  <w:num w:numId="7">
    <w:abstractNumId w:val="6"/>
  </w:num>
  <w:num w:numId="8">
    <w:abstractNumId w:val="0"/>
  </w:num>
  <w:num w:numId="9">
    <w:abstractNumId w:val="4"/>
  </w:num>
  <w:num w:numId="10">
    <w:abstractNumId w:val="16"/>
  </w:num>
  <w:num w:numId="11">
    <w:abstractNumId w:val="17"/>
  </w:num>
  <w:num w:numId="12">
    <w:abstractNumId w:val="9"/>
  </w:num>
  <w:num w:numId="13">
    <w:abstractNumId w:val="7"/>
  </w:num>
  <w:num w:numId="14">
    <w:abstractNumId w:val="1"/>
  </w:num>
  <w:num w:numId="15">
    <w:abstractNumId w:val="10"/>
  </w:num>
  <w:num w:numId="16">
    <w:abstractNumId w:val="13"/>
  </w:num>
  <w:num w:numId="17">
    <w:abstractNumId w:val="5"/>
  </w:num>
  <w:num w:numId="18">
    <w:abstractNumId w:val="11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3"/>
    <w:rsid w:val="00222C60"/>
    <w:rsid w:val="0041294B"/>
    <w:rsid w:val="005B7E41"/>
    <w:rsid w:val="00636866"/>
    <w:rsid w:val="00840147"/>
    <w:rsid w:val="008647C3"/>
    <w:rsid w:val="008F1633"/>
    <w:rsid w:val="00943E45"/>
    <w:rsid w:val="00B57D79"/>
    <w:rsid w:val="00DA0B13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D432-C096-42BC-819C-7557E09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13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DA0B13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DA0B13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paragraph" w:styleId="Puesto">
    <w:name w:val="Title"/>
    <w:basedOn w:val="Normal"/>
    <w:link w:val="PuestoCar"/>
    <w:qFormat/>
    <w:rsid w:val="00DA0B13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DA0B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A0B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A0B1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0B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0B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2023-01-12T19:22:00Z</dcterms:created>
  <dcterms:modified xsi:type="dcterms:W3CDTF">2023-03-08T23:32:00Z</dcterms:modified>
</cp:coreProperties>
</file>