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AD7C98" w:rsidTr="00981476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AD7C98" w:rsidRPr="00981476" w:rsidRDefault="00AD7C98" w:rsidP="00981476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81476">
              <w:rPr>
                <w:rFonts w:ascii="Arial Narrow" w:hAnsi="Arial Narrow"/>
                <w:color w:val="FFC000"/>
                <w:sz w:val="20"/>
                <w:szCs w:val="20"/>
              </w:rPr>
              <w:br w:type="page"/>
            </w:r>
            <w:r w:rsidRPr="00981476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AD7C98" w:rsidRPr="00981476" w:rsidRDefault="00AD7C98" w:rsidP="00981476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981476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AD7C98" w:rsidRPr="00981476" w:rsidRDefault="00AD7C98" w:rsidP="00981476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1476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AD7C98" w:rsidTr="00B90733">
        <w:tc>
          <w:tcPr>
            <w:tcW w:w="6101" w:type="dxa"/>
            <w:gridSpan w:val="5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  <w:bookmarkStart w:id="0" w:name="_GoBack"/>
        <w:bookmarkEnd w:id="0"/>
      </w:tr>
      <w:tr w:rsidR="00AD7C98" w:rsidTr="00B90733">
        <w:trPr>
          <w:trHeight w:val="1204"/>
        </w:trPr>
        <w:tc>
          <w:tcPr>
            <w:tcW w:w="6101" w:type="dxa"/>
            <w:gridSpan w:val="5"/>
          </w:tcPr>
          <w:p w:rsidR="00981476" w:rsidRDefault="00981476" w:rsidP="00981476">
            <w:pPr>
              <w:pStyle w:val="Sinespaciado"/>
              <w:rPr>
                <w:rStyle w:val="Ttulo2Car"/>
                <w:rFonts w:ascii="Arial Narrow" w:eastAsia="Calibri" w:hAnsi="Arial Narrow"/>
                <w:szCs w:val="20"/>
              </w:rPr>
            </w:pPr>
            <w:bookmarkStart w:id="1" w:name="_Toc444782389"/>
          </w:p>
          <w:p w:rsidR="00AD7C98" w:rsidRPr="00981476" w:rsidRDefault="00AD7C98" w:rsidP="00981476">
            <w:pPr>
              <w:pStyle w:val="Sinespaciado"/>
              <w:jc w:val="center"/>
              <w:rPr>
                <w:rStyle w:val="Ttulo2Car"/>
                <w:rFonts w:ascii="Arial Narrow" w:eastAsia="Calibri" w:hAnsi="Arial Narrow"/>
                <w:b w:val="0"/>
                <w:szCs w:val="20"/>
              </w:rPr>
            </w:pPr>
            <w:r w:rsidRPr="00981476">
              <w:rPr>
                <w:rStyle w:val="Ttulo2Car"/>
                <w:rFonts w:ascii="Arial Narrow" w:eastAsia="Calibri" w:hAnsi="Arial Narrow"/>
                <w:szCs w:val="20"/>
              </w:rPr>
              <w:t>Pagos de los Servicios Facturados en bancos</w:t>
            </w:r>
          </w:p>
          <w:p w:rsidR="00AD7C98" w:rsidRPr="00981476" w:rsidRDefault="00AD7C98" w:rsidP="00981476">
            <w:pPr>
              <w:pStyle w:val="Sinespaciado"/>
              <w:jc w:val="center"/>
              <w:rPr>
                <w:rStyle w:val="Ttulo2Car"/>
                <w:rFonts w:ascii="Arial Narrow" w:eastAsia="Calibri" w:hAnsi="Arial Narrow"/>
                <w:b w:val="0"/>
                <w:szCs w:val="20"/>
              </w:rPr>
            </w:pPr>
            <w:r w:rsidRPr="00981476">
              <w:rPr>
                <w:rStyle w:val="Ttulo2Car"/>
                <w:rFonts w:ascii="Arial Narrow" w:eastAsia="Calibri" w:hAnsi="Arial Narrow"/>
                <w:szCs w:val="20"/>
              </w:rPr>
              <w:t>(en efectivo y domiciliado) y</w:t>
            </w:r>
          </w:p>
          <w:p w:rsidR="00AD7C98" w:rsidRPr="00981476" w:rsidRDefault="00AD7C98" w:rsidP="00981476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1476">
              <w:rPr>
                <w:rStyle w:val="Ttulo2Car"/>
                <w:rFonts w:ascii="Arial Narrow" w:eastAsia="Calibri" w:hAnsi="Arial Narrow"/>
                <w:szCs w:val="20"/>
              </w:rPr>
              <w:t>Tiendas de autoservicio</w:t>
            </w:r>
            <w:bookmarkEnd w:id="1"/>
            <w:r w:rsidRPr="009814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sz w:val="20"/>
                <w:szCs w:val="20"/>
              </w:rPr>
              <w:t>Una vez frente a caja 2 minutos.</w:t>
            </w:r>
          </w:p>
        </w:tc>
      </w:tr>
      <w:tr w:rsidR="00AD7C98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AD7C98" w:rsidTr="00B90733">
        <w:tc>
          <w:tcPr>
            <w:tcW w:w="9828" w:type="dxa"/>
            <w:gridSpan w:val="9"/>
          </w:tcPr>
          <w:p w:rsidR="00AD7C98" w:rsidRPr="00981476" w:rsidRDefault="00AD7C98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Dar al usuario opciones para que pueda realizar su pago de Factura fuera de las Zonas Comerciales y módulos de recaudación.</w:t>
            </w:r>
          </w:p>
        </w:tc>
      </w:tr>
      <w:tr w:rsidR="00AD7C98" w:rsidTr="00B9073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D7C98" w:rsidTr="00B9073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sz w:val="20"/>
                <w:szCs w:val="20"/>
              </w:rPr>
              <w:t>Zona Comercial.</w:t>
            </w:r>
          </w:p>
        </w:tc>
        <w:tc>
          <w:tcPr>
            <w:tcW w:w="835" w:type="dxa"/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C98" w:rsidTr="00B9073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AD7C98" w:rsidTr="00B90733">
        <w:tc>
          <w:tcPr>
            <w:tcW w:w="2872" w:type="dxa"/>
            <w:tcBorders>
              <w:righ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Algunos bancos y tiendas de autoservicio tienen costo de comisión.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sz w:val="20"/>
                <w:szCs w:val="20"/>
              </w:rPr>
              <w:t>Comprobante de Pago sellado.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81476">
              <w:rPr>
                <w:rFonts w:ascii="Arial Narrow" w:hAnsi="Arial Narrow"/>
                <w:sz w:val="20"/>
                <w:szCs w:val="20"/>
              </w:rPr>
              <w:t>Permanente</w:t>
            </w:r>
          </w:p>
        </w:tc>
      </w:tr>
      <w:tr w:rsidR="00AD7C98" w:rsidTr="00B907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AD7C98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Bancos donde puede realizar su pago: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HSBC México, S.A.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Banorte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Scotiabank</w:t>
            </w:r>
            <w:proofErr w:type="spellEnd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 xml:space="preserve"> Inverlat, S.A.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Santander, S.A.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BanRegio</w:t>
            </w:r>
            <w:proofErr w:type="spellEnd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, S.A.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Bancomer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Banamex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Banco del Bajío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 xml:space="preserve">Banco Ahorro </w:t>
            </w: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Famsa</w:t>
            </w:r>
            <w:proofErr w:type="spellEnd"/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Imbursa</w:t>
            </w:r>
          </w:p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Mercados donde puede realizar su pago: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Oxxo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Mercado Ley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Proconsa</w:t>
            </w:r>
            <w:proofErr w:type="spellEnd"/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Calimax</w:t>
            </w:r>
            <w:proofErr w:type="spellEnd"/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Circulo K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Telecomm</w:t>
            </w:r>
            <w:proofErr w:type="spellEnd"/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Seven</w:t>
            </w:r>
            <w:proofErr w:type="spellEnd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 xml:space="preserve"> 7 Eleven</w:t>
            </w:r>
          </w:p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Gasolineras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Gasmart</w:t>
            </w:r>
            <w:proofErr w:type="spellEnd"/>
          </w:p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Domiciliación Bancaria: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Bancomer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Santander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5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Banamex</w:t>
            </w:r>
          </w:p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81476">
              <w:rPr>
                <w:rFonts w:ascii="Arial Narrow" w:hAnsi="Arial Narrow"/>
                <w:sz w:val="20"/>
                <w:szCs w:val="20"/>
              </w:rPr>
              <w:t>Los que el establecimiento de su elección señale.</w:t>
            </w:r>
          </w:p>
        </w:tc>
      </w:tr>
      <w:tr w:rsidR="00AD7C98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AD7C98" w:rsidTr="00B90733">
        <w:tc>
          <w:tcPr>
            <w:tcW w:w="9828" w:type="dxa"/>
            <w:gridSpan w:val="9"/>
          </w:tcPr>
          <w:p w:rsidR="00AD7C98" w:rsidRPr="00981476" w:rsidRDefault="00AD7C98" w:rsidP="00AD7C98">
            <w:pPr>
              <w:pStyle w:val="ListParagraph1"/>
              <w:numPr>
                <w:ilvl w:val="0"/>
                <w:numId w:val="26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El pago en una institución, ya sea bancaria o comercial distinta a la Zona Comercial, sólo se recibirá 3 días antes de su vencimiento y que no cuente con mensualidades vencidas.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6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Pago domiciliado te ofrece la oportunidad de pagar tu recibo de agua descontándolo automáticamente de tu cuenta de débito o cuenta de cheques.</w:t>
            </w:r>
          </w:p>
          <w:p w:rsidR="00AD7C98" w:rsidRPr="00981476" w:rsidRDefault="00AD7C98" w:rsidP="00B90733">
            <w:pPr>
              <w:spacing w:after="0" w:line="240" w:lineRule="auto"/>
              <w:ind w:left="974" w:hanging="61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 xml:space="preserve"> Acudir a cualquier sucursal BBVA Bancomer, Santander o Banamex. Presenta los siguientes documentos: 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7"/>
              </w:numPr>
              <w:ind w:left="1154" w:hanging="18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 xml:space="preserve">Ser titular de la cuenta. 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7"/>
              </w:numPr>
              <w:ind w:left="1154" w:hanging="18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Tu último estado de cuenta.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7"/>
              </w:numPr>
              <w:ind w:left="1154" w:hanging="18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Identificación oficial. vigente.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7"/>
              </w:numPr>
              <w:ind w:left="1154" w:hanging="18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Recibo de agua.</w:t>
            </w:r>
          </w:p>
          <w:p w:rsidR="00AD7C98" w:rsidRPr="00981476" w:rsidRDefault="00AD7C98" w:rsidP="00B9073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Firma del formato de autorización.</w:t>
            </w:r>
          </w:p>
        </w:tc>
      </w:tr>
      <w:tr w:rsidR="00AD7C98" w:rsidTr="00B907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D7C98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/>
                <w:bCs/>
                <w:sz w:val="20"/>
                <w:szCs w:val="20"/>
              </w:rPr>
              <w:t>Se cobrará de acuerdo a la tarifa contenida en la Ley de Ingresos del Estado de Baja California. Art 9</w:t>
            </w: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Cs/>
                <w:sz w:val="20"/>
                <w:szCs w:val="20"/>
              </w:rPr>
              <w:t>Ninguno.</w:t>
            </w:r>
          </w:p>
        </w:tc>
        <w:tc>
          <w:tcPr>
            <w:tcW w:w="835" w:type="dxa"/>
          </w:tcPr>
          <w:p w:rsidR="00AD7C98" w:rsidRPr="00981476" w:rsidRDefault="00AD7C98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D7C98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D7C98" w:rsidRPr="00981476" w:rsidRDefault="00AD7C98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1476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AD7C98" w:rsidTr="00B90733">
        <w:tc>
          <w:tcPr>
            <w:tcW w:w="9828" w:type="dxa"/>
            <w:gridSpan w:val="9"/>
          </w:tcPr>
          <w:p w:rsidR="00AD7C98" w:rsidRPr="00981476" w:rsidRDefault="00AD7C98" w:rsidP="00AD7C98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Acudir a la sucursal más cercana del banco o tienda de autoservicio al área de cajas y esperar su turno.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La cajera le recibe su factura y le cobra el importe de la factura, sella y le hace entrega de la misma.</w:t>
            </w:r>
          </w:p>
          <w:p w:rsidR="00AD7C98" w:rsidRPr="00981476" w:rsidRDefault="00AD7C98" w:rsidP="00AD7C98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1476">
              <w:rPr>
                <w:rFonts w:ascii="Arial Narrow" w:hAnsi="Arial Narrow" w:cs="Arial"/>
                <w:bCs/>
                <w:sz w:val="20"/>
                <w:szCs w:val="20"/>
              </w:rPr>
              <w:t>Para pago domiciliado acudir a cualquier sucursal BBVA Bancomer, Santander o Banamex y presentar documentos.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9E8"/>
    <w:multiLevelType w:val="multilevel"/>
    <w:tmpl w:val="03D12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38"/>
    <w:multiLevelType w:val="multilevel"/>
    <w:tmpl w:val="07237F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1265"/>
    <w:multiLevelType w:val="multilevel"/>
    <w:tmpl w:val="0A58126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142"/>
    <w:multiLevelType w:val="multilevel"/>
    <w:tmpl w:val="0BE9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0BC0"/>
    <w:multiLevelType w:val="multilevel"/>
    <w:tmpl w:val="15E80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653"/>
    <w:multiLevelType w:val="multilevel"/>
    <w:tmpl w:val="1CD666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0DC2"/>
    <w:multiLevelType w:val="multilevel"/>
    <w:tmpl w:val="20300D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285A"/>
    <w:multiLevelType w:val="multilevel"/>
    <w:tmpl w:val="204128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770A"/>
    <w:multiLevelType w:val="multilevel"/>
    <w:tmpl w:val="264C77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C7AF4"/>
    <w:multiLevelType w:val="multilevel"/>
    <w:tmpl w:val="28AC7A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10F4"/>
    <w:multiLevelType w:val="multilevel"/>
    <w:tmpl w:val="2C0C10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C34FC"/>
    <w:multiLevelType w:val="multilevel"/>
    <w:tmpl w:val="329C34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976E7"/>
    <w:multiLevelType w:val="multilevel"/>
    <w:tmpl w:val="398976E7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AA794A"/>
    <w:multiLevelType w:val="multilevel"/>
    <w:tmpl w:val="3CAA79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E5C75"/>
    <w:multiLevelType w:val="multilevel"/>
    <w:tmpl w:val="52DE5C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F5F62"/>
    <w:multiLevelType w:val="multilevel"/>
    <w:tmpl w:val="57DF5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728A9"/>
    <w:multiLevelType w:val="multilevel"/>
    <w:tmpl w:val="58B728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5DF5"/>
    <w:multiLevelType w:val="multilevel"/>
    <w:tmpl w:val="60BC5DF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07FF8"/>
    <w:multiLevelType w:val="multilevel"/>
    <w:tmpl w:val="61F07F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D3F7C"/>
    <w:multiLevelType w:val="multilevel"/>
    <w:tmpl w:val="630D3F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F21EB"/>
    <w:multiLevelType w:val="multilevel"/>
    <w:tmpl w:val="660F21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822F2"/>
    <w:multiLevelType w:val="multilevel"/>
    <w:tmpl w:val="706822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1616D"/>
    <w:multiLevelType w:val="multilevel"/>
    <w:tmpl w:val="71B16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D5DA7"/>
    <w:multiLevelType w:val="multilevel"/>
    <w:tmpl w:val="746D5DA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1A7E"/>
    <w:multiLevelType w:val="multilevel"/>
    <w:tmpl w:val="76B41A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635"/>
    <w:multiLevelType w:val="multilevel"/>
    <w:tmpl w:val="7B64763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21"/>
  </w:num>
  <w:num w:numId="5">
    <w:abstractNumId w:val="3"/>
  </w:num>
  <w:num w:numId="6">
    <w:abstractNumId w:val="18"/>
  </w:num>
  <w:num w:numId="7">
    <w:abstractNumId w:val="8"/>
  </w:num>
  <w:num w:numId="8">
    <w:abstractNumId w:val="0"/>
  </w:num>
  <w:num w:numId="9">
    <w:abstractNumId w:val="5"/>
  </w:num>
  <w:num w:numId="10">
    <w:abstractNumId w:val="22"/>
  </w:num>
  <w:num w:numId="11">
    <w:abstractNumId w:val="23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  <w:num w:numId="16">
    <w:abstractNumId w:val="16"/>
  </w:num>
  <w:num w:numId="17">
    <w:abstractNumId w:val="6"/>
  </w:num>
  <w:num w:numId="18">
    <w:abstractNumId w:val="14"/>
  </w:num>
  <w:num w:numId="19">
    <w:abstractNumId w:val="25"/>
  </w:num>
  <w:num w:numId="20">
    <w:abstractNumId w:val="11"/>
  </w:num>
  <w:num w:numId="21">
    <w:abstractNumId w:val="20"/>
  </w:num>
  <w:num w:numId="22">
    <w:abstractNumId w:val="17"/>
  </w:num>
  <w:num w:numId="23">
    <w:abstractNumId w:val="2"/>
  </w:num>
  <w:num w:numId="24">
    <w:abstractNumId w:val="26"/>
  </w:num>
  <w:num w:numId="25">
    <w:abstractNumId w:val="19"/>
  </w:num>
  <w:num w:numId="26">
    <w:abstractNumId w:val="7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222C60"/>
    <w:rsid w:val="0041294B"/>
    <w:rsid w:val="005B7E41"/>
    <w:rsid w:val="00636866"/>
    <w:rsid w:val="00840147"/>
    <w:rsid w:val="008647C3"/>
    <w:rsid w:val="008F1633"/>
    <w:rsid w:val="00981476"/>
    <w:rsid w:val="00AD7C98"/>
    <w:rsid w:val="00B57D79"/>
    <w:rsid w:val="00DA0B13"/>
    <w:rsid w:val="00ED4EF3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qFormat/>
    <w:rsid w:val="00ED4EF3"/>
    <w:rPr>
      <w:color w:val="0000FF"/>
      <w:u w:val="single"/>
    </w:rPr>
  </w:style>
  <w:style w:type="paragraph" w:styleId="Sinespaciado">
    <w:name w:val="No Spacing"/>
    <w:uiPriority w:val="1"/>
    <w:qFormat/>
    <w:rsid w:val="009814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2023-01-12T19:24:00Z</dcterms:created>
  <dcterms:modified xsi:type="dcterms:W3CDTF">2023-03-08T23:33:00Z</dcterms:modified>
</cp:coreProperties>
</file>